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О представлении в налоговые органы сведений о консервации</w:t>
        <w:br/>
        <w:t>недвижимого имущества и транспортных средств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С 28.05.2022 вступило в силу (за исключением отдельных положений) постановление Совета Министров Республики Беларусь от 24.05.2022 № 324 «Об изменении постановлений Совета Министров Республики Беларусь» (далее - постановление № 324).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Постановлением № 324 установлена обязанность представления в налоговый орган копий документов и информации в отношении транспортных средств и объектов недвижимости, по которым принимались в установленном порядке решения о консервации, продлении сроков консервации и расконсервации.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Представление в налоговые органы обязанными лицами</w:t>
        <w:br/>
        <w:t>по месту их постановки на учет</w:t>
      </w:r>
      <w:bookmarkEnd w:id="3"/>
      <w:bookmarkEnd w:id="4"/>
      <w:bookmarkEnd w:id="5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1060" w:right="0" w:firstLine="0"/>
        <w:jc w:val="both"/>
      </w:pPr>
      <w:bookmarkStart w:id="3" w:name="bookmark3"/>
      <w:bookmarkStart w:id="4" w:name="bookmark4"/>
      <w:bookmarkStart w:id="6" w:name="bookmark6"/>
      <w:r>
        <w:rPr>
          <w:color w:val="000000"/>
          <w:spacing w:val="0"/>
          <w:w w:val="100"/>
          <w:position w:val="0"/>
        </w:rPr>
        <w:t xml:space="preserve">копий документов и сведений в отношении </w:t>
      </w:r>
      <w:r>
        <w:rPr>
          <w:color w:val="000000"/>
          <w:spacing w:val="0"/>
          <w:w w:val="100"/>
          <w:position w:val="0"/>
          <w:u w:val="single"/>
        </w:rPr>
        <w:t>транспортных средств</w:t>
      </w:r>
      <w:r>
        <w:rPr>
          <w:color w:val="000000"/>
          <w:spacing w:val="0"/>
          <w:w w:val="100"/>
          <w:position w:val="0"/>
        </w:rPr>
        <w:t>:</w:t>
      </w:r>
      <w:bookmarkEnd w:id="3"/>
      <w:bookmarkEnd w:id="4"/>
      <w:bookmarkEnd w:id="6"/>
    </w:p>
    <w:tbl>
      <w:tblPr>
        <w:tblOverlap w:val="never"/>
        <w:jc w:val="center"/>
        <w:tblLayout w:type="fixed"/>
      </w:tblPr>
      <w:tblGrid>
        <w:gridCol w:w="2794"/>
        <w:gridCol w:w="5045"/>
        <w:gridCol w:w="2294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Обязанные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Представляемая информация, копии документов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 представления</w:t>
            </w:r>
          </w:p>
        </w:tc>
      </w:tr>
      <w:tr>
        <w:trPr>
          <w:trHeight w:val="3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негосударственные юридические лица (включая лизингополучателей транспортных средств)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информация о принятии решения о консервации,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продлении срока консервации (включая его продление более одного раза), повторной консервации транспортных средств с указанием типа транспортного средства, серии и номера свидетельства о регистрации транспортного средства, даты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регистрации транспортного средства в Государственной автомобильной инспекции Министерства внутренних дел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10-ти 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принятия соответствующего решения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уполномоченные организации,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ссудополучатели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копия акта о консервации,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 продлении срока консервации,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 продлении срока консервации более одного раза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либо проведении повторной консервации, о расконсервации транспортных средств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10-ти 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утверждения соответствующего акта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Переходная норма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негосударственные юридические лица (включая лизингополучателей транспортных средств)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уведомление о принятии в 2022 году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до вступления в силу пункта 3 постановления № 324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решения о консервации транспортных средств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10-ти 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вступления в силу пункта 3 постановления № 324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уполномоченные организации,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ссудополучатели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копия акта о консервации транспортных средств, утвержденного в 2022 году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до вступления в силу пункта 3 постановления № 324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10-ти 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вступления в силу пункта 3 постановления № 324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20" w:line="240" w:lineRule="auto"/>
        <w:ind w:right="0" w:firstLine="200"/>
        <w:jc w:val="left"/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 xml:space="preserve">Представление обязанными лицами в налоговые органы </w:t>
      </w:r>
      <w:r>
        <w:rPr>
          <w:color w:val="000000"/>
          <w:spacing w:val="0"/>
          <w:w w:val="100"/>
          <w:position w:val="0"/>
          <w:u w:val="single"/>
        </w:rPr>
        <w:t xml:space="preserve">по месту их постановки на учет и по месту нахождения недвижимого имущества </w:t>
      </w:r>
      <w:r>
        <w:rPr>
          <w:color w:val="000000"/>
          <w:spacing w:val="0"/>
          <w:w w:val="100"/>
          <w:position w:val="0"/>
        </w:rPr>
        <w:t xml:space="preserve">копий документов и сведений в отношении </w:t>
      </w:r>
      <w:r>
        <w:rPr>
          <w:color w:val="000000"/>
          <w:spacing w:val="0"/>
          <w:w w:val="100"/>
          <w:position w:val="0"/>
          <w:u w:val="single"/>
        </w:rPr>
        <w:t>объектов недвижимости</w:t>
      </w:r>
      <w:r>
        <w:rPr>
          <w:color w:val="000000"/>
          <w:spacing w:val="0"/>
          <w:w w:val="100"/>
          <w:position w:val="0"/>
        </w:rPr>
        <w:t>:</w:t>
      </w:r>
      <w:bookmarkEnd w:id="7"/>
      <w:bookmarkEnd w:id="8"/>
      <w:bookmarkEnd w:id="9"/>
    </w:p>
    <w:tbl>
      <w:tblPr>
        <w:tblOverlap w:val="never"/>
        <w:jc w:val="center"/>
        <w:tblLayout w:type="fixed"/>
      </w:tblPr>
      <w:tblGrid>
        <w:gridCol w:w="2549"/>
        <w:gridCol w:w="5645"/>
        <w:gridCol w:w="2150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Обязанные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Представляемая информация, копии документов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 представления</w:t>
            </w:r>
          </w:p>
        </w:tc>
      </w:tr>
      <w:tr>
        <w:trPr>
          <w:trHeight w:val="60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негосударственные юридические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информация о принятии решения о консервации, продлении срока консервации (включая его продление более одного раза), повторной консервации недвижимого имущества с указанием: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срока консервации (включая его продление более одного раза), повторной консервации;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инвентарных номеров (по бухгалтерскому учету и (или) по единому государственному регистру недвижимого имущества, прав на него и сделок с ним);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остаточной стоимости (стоимости) на первое января календарного года, в котором такое имущество законсервировано, либо остаточной стоимости (стоимости) на первое число первого месяца квартала, следующего за кварталом, в котором такое имущество принято к бухгалтерскому учету (в отношении объектов недвижимого имущества, принятых к бухгалтерскому учету в течение календарного года, в котором произведена консервация)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10-ти 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принятия соответствующего решения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уполномоченные организации,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ссудополучатели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копия акта о консервации, о продлении срока консервации, о продлении срока консервации более одного раза либо проведении повторной консервации, о расконсервации недвижимого имущества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 течение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10-ти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календарных дней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 дня утверждения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соответствующего акта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rPr>
          <w:sz w:val="26"/>
          <w:szCs w:val="26"/>
        </w:rPr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</w:rPr>
        <w:t>Справочно: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 xml:space="preserve">уполномоченные организации 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</w:rPr>
        <w:t>- государственные органы и организации, государственные юридические лица, лизингополучатели транспортных средств;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40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 xml:space="preserve">ссудополучатели 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</w:rPr>
        <w:t>- хозяйственные общества, созданные в соответствии с законодательством о приватизации (их правопреемники), республиканские государственно-общественные объединения, которым государственное имущество передано в безвозмездное пользование (пункт 3 Положения № 431).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70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817" w:right="800" w:bottom="867" w:left="757" w:header="389" w:footer="43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auto"/>
      <w:spacing w:after="310"/>
      <w:ind w:left="840" w:firstLine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Ус Елена Владимировна</dc:creator>
  <cp:keywords/>
</cp:coreProperties>
</file>