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5692" w14:textId="229D46B5" w:rsidR="002978E2" w:rsidRPr="002978E2" w:rsidRDefault="002978E2" w:rsidP="002978E2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978E2">
        <w:rPr>
          <w:rFonts w:ascii="Times New Roman" w:hAnsi="Times New Roman" w:cs="Times New Roman"/>
          <w:b/>
          <w:bCs/>
          <w:sz w:val="30"/>
          <w:szCs w:val="30"/>
        </w:rPr>
        <w:t>Об уплате земельного налога</w:t>
      </w:r>
      <w:r w:rsidR="00D528A4">
        <w:rPr>
          <w:rFonts w:ascii="Times New Roman" w:hAnsi="Times New Roman" w:cs="Times New Roman"/>
          <w:b/>
          <w:bCs/>
          <w:sz w:val="30"/>
          <w:szCs w:val="30"/>
        </w:rPr>
        <w:t xml:space="preserve"> физическими лицами</w:t>
      </w:r>
    </w:p>
    <w:p w14:paraId="0B4B77F2" w14:textId="59CB62CE" w:rsidR="00B16CE6" w:rsidRPr="00B16CE6" w:rsidRDefault="00B16CE6" w:rsidP="00CA5B46">
      <w:pPr>
        <w:jc w:val="both"/>
        <w:rPr>
          <w:rFonts w:ascii="Times New Roman" w:hAnsi="Times New Roman" w:cs="Times New Roman"/>
          <w:sz w:val="30"/>
          <w:szCs w:val="30"/>
        </w:rPr>
      </w:pPr>
      <w:r w:rsidRPr="00B16CE6">
        <w:rPr>
          <w:rFonts w:ascii="Times New Roman" w:hAnsi="Times New Roman" w:cs="Times New Roman"/>
          <w:sz w:val="30"/>
          <w:szCs w:val="30"/>
        </w:rPr>
        <w:t>Объектами налогообложения земельным налогом признаются расположенные на территории Республики Беларусь земельные участки и доли в праве на них:</w:t>
      </w:r>
    </w:p>
    <w:p w14:paraId="208DE247" w14:textId="5901A52E" w:rsidR="00B16CE6" w:rsidRPr="00B16CE6" w:rsidRDefault="00B16CE6" w:rsidP="00B16C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16CE6">
        <w:rPr>
          <w:rFonts w:ascii="Times New Roman" w:hAnsi="Times New Roman" w:cs="Times New Roman"/>
          <w:sz w:val="30"/>
          <w:szCs w:val="30"/>
        </w:rPr>
        <w:t>принадлежащие физическим лицам на праве частной собственности;</w:t>
      </w:r>
    </w:p>
    <w:p w14:paraId="7E2E6F04" w14:textId="42468C54" w:rsidR="00B16CE6" w:rsidRPr="00B16CE6" w:rsidRDefault="00B16CE6" w:rsidP="00B16C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16CE6">
        <w:rPr>
          <w:rFonts w:ascii="Times New Roman" w:hAnsi="Times New Roman" w:cs="Times New Roman"/>
          <w:sz w:val="30"/>
          <w:szCs w:val="30"/>
        </w:rPr>
        <w:t xml:space="preserve">принадлежащие физическим лицам на </w:t>
      </w:r>
      <w:r w:rsidR="00027CCA">
        <w:rPr>
          <w:rFonts w:ascii="Times New Roman" w:hAnsi="Times New Roman" w:cs="Times New Roman"/>
          <w:sz w:val="30"/>
          <w:szCs w:val="30"/>
        </w:rPr>
        <w:t xml:space="preserve">праве </w:t>
      </w:r>
      <w:r w:rsidRPr="00B16CE6">
        <w:rPr>
          <w:rFonts w:ascii="Times New Roman" w:hAnsi="Times New Roman" w:cs="Times New Roman"/>
          <w:sz w:val="30"/>
          <w:szCs w:val="30"/>
        </w:rPr>
        <w:t>пожизненного наследуемого владения;</w:t>
      </w:r>
    </w:p>
    <w:p w14:paraId="5665F99E" w14:textId="207124CE" w:rsidR="00B16CE6" w:rsidRPr="00B16CE6" w:rsidRDefault="00B16CE6" w:rsidP="00B16C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16CE6">
        <w:rPr>
          <w:rFonts w:ascii="Times New Roman" w:hAnsi="Times New Roman" w:cs="Times New Roman"/>
          <w:sz w:val="30"/>
          <w:szCs w:val="30"/>
        </w:rPr>
        <w:t>принадлежащие физическим лицам на праве временного пользования</w:t>
      </w:r>
    </w:p>
    <w:p w14:paraId="21260455" w14:textId="4E6F57D2" w:rsidR="00B16CE6" w:rsidRPr="00B16CE6" w:rsidRDefault="00B16CE6" w:rsidP="00B16C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16CE6">
        <w:rPr>
          <w:rFonts w:ascii="Times New Roman" w:hAnsi="Times New Roman" w:cs="Times New Roman"/>
          <w:sz w:val="30"/>
          <w:szCs w:val="30"/>
        </w:rPr>
        <w:t>принятые физическими лицами по наследству (обратите внимание: физические лица признаются принявшими наследство со времени открытия наследства, независимо от даты государственной регистрации права наследника на это имущество);</w:t>
      </w:r>
    </w:p>
    <w:p w14:paraId="4A80F3DD" w14:textId="3F73E2DE" w:rsidR="00B16CE6" w:rsidRPr="00B16CE6" w:rsidRDefault="00B16CE6" w:rsidP="00B16C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16CE6">
        <w:rPr>
          <w:rFonts w:ascii="Times New Roman" w:hAnsi="Times New Roman" w:cs="Times New Roman"/>
          <w:sz w:val="30"/>
          <w:szCs w:val="30"/>
        </w:rPr>
        <w:t>предоставленные во временное пользование и своевременно не возвращенные в соответствии с законодательством;</w:t>
      </w:r>
    </w:p>
    <w:p w14:paraId="50184DF6" w14:textId="51FF9B83" w:rsidR="00B16CE6" w:rsidRPr="00B16CE6" w:rsidRDefault="00B16CE6" w:rsidP="00B16C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16CE6">
        <w:rPr>
          <w:rFonts w:ascii="Times New Roman" w:hAnsi="Times New Roman" w:cs="Times New Roman"/>
          <w:sz w:val="30"/>
          <w:szCs w:val="30"/>
        </w:rPr>
        <w:t>находящиеся в государственной собственности, предоставленные в аренду и своевременно не возвращенные в соответствии с законодательством;</w:t>
      </w:r>
    </w:p>
    <w:p w14:paraId="4F73A6B1" w14:textId="04852D0D" w:rsidR="00B16CE6" w:rsidRPr="00B16CE6" w:rsidRDefault="00B16CE6" w:rsidP="00B16C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16CE6">
        <w:rPr>
          <w:rFonts w:ascii="Times New Roman" w:hAnsi="Times New Roman" w:cs="Times New Roman"/>
          <w:sz w:val="30"/>
          <w:szCs w:val="30"/>
        </w:rPr>
        <w:t>самовольно занятые;</w:t>
      </w:r>
    </w:p>
    <w:p w14:paraId="22CEA35A" w14:textId="6BFD59BB" w:rsidR="00B16CE6" w:rsidRDefault="00B16CE6" w:rsidP="00B16CE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B16CE6">
        <w:rPr>
          <w:rFonts w:ascii="Times New Roman" w:hAnsi="Times New Roman" w:cs="Times New Roman"/>
          <w:sz w:val="30"/>
          <w:szCs w:val="30"/>
        </w:rPr>
        <w:t>иные земельные участки, в отношении которых в соответствии с законодательством физические лица имеют право осуществлять пользование.</w:t>
      </w:r>
    </w:p>
    <w:p w14:paraId="71685986" w14:textId="544AAB94" w:rsidR="00B42B07" w:rsidRPr="00B16CE6" w:rsidRDefault="00B42B07" w:rsidP="00B16CE6">
      <w:pPr>
        <w:jc w:val="both"/>
        <w:rPr>
          <w:rFonts w:ascii="Times New Roman" w:hAnsi="Times New Roman" w:cs="Times New Roman"/>
          <w:sz w:val="30"/>
          <w:szCs w:val="30"/>
        </w:rPr>
      </w:pPr>
      <w:r w:rsidRPr="00B42B07">
        <w:rPr>
          <w:rFonts w:ascii="Times New Roman" w:hAnsi="Times New Roman" w:cs="Times New Roman"/>
          <w:sz w:val="30"/>
          <w:szCs w:val="30"/>
        </w:rPr>
        <w:t xml:space="preserve">Отсутствие у физических лиц </w:t>
      </w:r>
      <w:proofErr w:type="spellStart"/>
      <w:r w:rsidRPr="00B42B07">
        <w:rPr>
          <w:rFonts w:ascii="Times New Roman" w:hAnsi="Times New Roman" w:cs="Times New Roman"/>
          <w:sz w:val="30"/>
          <w:szCs w:val="30"/>
        </w:rPr>
        <w:t>правоудостоверяющих</w:t>
      </w:r>
      <w:proofErr w:type="spellEnd"/>
      <w:r w:rsidRPr="00B42B07">
        <w:rPr>
          <w:rFonts w:ascii="Times New Roman" w:hAnsi="Times New Roman" w:cs="Times New Roman"/>
          <w:sz w:val="30"/>
          <w:szCs w:val="30"/>
        </w:rPr>
        <w:t xml:space="preserve"> документов на земельные участки</w:t>
      </w:r>
      <w:r w:rsidR="009415C8">
        <w:rPr>
          <w:rFonts w:ascii="Times New Roman" w:hAnsi="Times New Roman" w:cs="Times New Roman"/>
          <w:sz w:val="30"/>
          <w:szCs w:val="30"/>
        </w:rPr>
        <w:t>,</w:t>
      </w:r>
      <w:r w:rsidRPr="00B42B07">
        <w:rPr>
          <w:rFonts w:ascii="Times New Roman" w:hAnsi="Times New Roman" w:cs="Times New Roman"/>
          <w:sz w:val="30"/>
          <w:szCs w:val="30"/>
        </w:rPr>
        <w:t xml:space="preserve"> либо отсутствие государственной регистрации прав частной собственности, постоянного или временного пользования, пожизненного наследуемого владения земельными участками не являются основанием для непризнания этих физических лиц плательщиками за земельные участки, в отношении которых в соответствии с законодательством они имеют право осуществлять пользование или которыми они фактически пользуются.</w:t>
      </w:r>
    </w:p>
    <w:p w14:paraId="44577E1A" w14:textId="77777777" w:rsidR="000E1FF4" w:rsidRPr="000E1FF4" w:rsidRDefault="000E1FF4" w:rsidP="000E1FF4">
      <w:pPr>
        <w:jc w:val="both"/>
        <w:rPr>
          <w:rFonts w:ascii="Times New Roman" w:hAnsi="Times New Roman" w:cs="Times New Roman"/>
          <w:sz w:val="30"/>
          <w:szCs w:val="30"/>
        </w:rPr>
      </w:pPr>
      <w:r w:rsidRPr="000E1FF4">
        <w:rPr>
          <w:rFonts w:ascii="Times New Roman" w:hAnsi="Times New Roman" w:cs="Times New Roman"/>
          <w:b/>
          <w:bCs/>
          <w:sz w:val="30"/>
          <w:szCs w:val="30"/>
        </w:rPr>
        <w:t>За 2022 год</w:t>
      </w:r>
      <w:r w:rsidRPr="000E1FF4">
        <w:rPr>
          <w:rFonts w:ascii="Times New Roman" w:hAnsi="Times New Roman" w:cs="Times New Roman"/>
          <w:sz w:val="30"/>
          <w:szCs w:val="30"/>
        </w:rPr>
        <w:t xml:space="preserve"> физические лица производят уплату земельного налога в следующем порядке:</w:t>
      </w:r>
    </w:p>
    <w:p w14:paraId="6B8D7C71" w14:textId="77777777" w:rsidR="000E1FF4" w:rsidRPr="000E1FF4" w:rsidRDefault="000E1FF4" w:rsidP="000E1FF4">
      <w:pPr>
        <w:jc w:val="both"/>
        <w:rPr>
          <w:rFonts w:ascii="Times New Roman" w:hAnsi="Times New Roman" w:cs="Times New Roman"/>
          <w:sz w:val="30"/>
          <w:szCs w:val="30"/>
        </w:rPr>
      </w:pPr>
      <w:r w:rsidRPr="000E1FF4">
        <w:rPr>
          <w:rFonts w:ascii="Times New Roman" w:hAnsi="Times New Roman" w:cs="Times New Roman"/>
          <w:b/>
          <w:bCs/>
          <w:sz w:val="30"/>
          <w:szCs w:val="30"/>
        </w:rPr>
        <w:t>не позднее 15 ноября 2022 года</w:t>
      </w:r>
      <w:r w:rsidRPr="000E1FF4">
        <w:rPr>
          <w:rFonts w:ascii="Times New Roman" w:hAnsi="Times New Roman" w:cs="Times New Roman"/>
          <w:sz w:val="30"/>
          <w:szCs w:val="30"/>
        </w:rPr>
        <w:t xml:space="preserve"> – </w:t>
      </w:r>
      <w:r w:rsidRPr="000E1FF4">
        <w:rPr>
          <w:rFonts w:ascii="Times New Roman" w:hAnsi="Times New Roman" w:cs="Times New Roman"/>
          <w:b/>
          <w:bCs/>
          <w:sz w:val="30"/>
          <w:szCs w:val="30"/>
        </w:rPr>
        <w:t>авансовый платеж</w:t>
      </w:r>
      <w:r w:rsidRPr="000E1FF4">
        <w:rPr>
          <w:rFonts w:ascii="Times New Roman" w:hAnsi="Times New Roman" w:cs="Times New Roman"/>
          <w:sz w:val="30"/>
          <w:szCs w:val="30"/>
        </w:rPr>
        <w:t xml:space="preserve"> по земельному налогу на основании извещения налогового органа, вручаемого физическому лицу не позднее 1 сентября 2022 года. Авансовый платеж </w:t>
      </w:r>
      <w:r w:rsidRPr="000E1FF4">
        <w:rPr>
          <w:rFonts w:ascii="Times New Roman" w:hAnsi="Times New Roman" w:cs="Times New Roman"/>
          <w:sz w:val="30"/>
          <w:szCs w:val="30"/>
        </w:rPr>
        <w:lastRenderedPageBreak/>
        <w:t xml:space="preserve">уплачивается </w:t>
      </w:r>
      <w:r w:rsidRPr="000E1FF4">
        <w:rPr>
          <w:rFonts w:ascii="Times New Roman" w:hAnsi="Times New Roman" w:cs="Times New Roman"/>
          <w:b/>
          <w:bCs/>
          <w:sz w:val="30"/>
          <w:szCs w:val="30"/>
        </w:rPr>
        <w:t>в размере 50 (пятидесяти) процентов</w:t>
      </w:r>
      <w:r w:rsidRPr="000E1FF4">
        <w:rPr>
          <w:rFonts w:ascii="Times New Roman" w:hAnsi="Times New Roman" w:cs="Times New Roman"/>
          <w:sz w:val="30"/>
          <w:szCs w:val="30"/>
        </w:rPr>
        <w:t xml:space="preserve"> исчисленных за 2022 год сумм земельного налога;</w:t>
      </w:r>
    </w:p>
    <w:p w14:paraId="2DEBE274" w14:textId="77777777" w:rsidR="000E1FF4" w:rsidRPr="000E1FF4" w:rsidRDefault="000E1FF4" w:rsidP="000E1FF4">
      <w:pPr>
        <w:jc w:val="both"/>
        <w:rPr>
          <w:rFonts w:ascii="Times New Roman" w:hAnsi="Times New Roman" w:cs="Times New Roman"/>
          <w:sz w:val="30"/>
          <w:szCs w:val="30"/>
        </w:rPr>
      </w:pPr>
      <w:r w:rsidRPr="000E1FF4">
        <w:rPr>
          <w:rFonts w:ascii="Times New Roman" w:hAnsi="Times New Roman" w:cs="Times New Roman"/>
          <w:b/>
          <w:bCs/>
          <w:sz w:val="30"/>
          <w:szCs w:val="30"/>
        </w:rPr>
        <w:t>не позднее 15 ноября 2023 года</w:t>
      </w:r>
      <w:r w:rsidRPr="000E1FF4">
        <w:rPr>
          <w:rFonts w:ascii="Times New Roman" w:hAnsi="Times New Roman" w:cs="Times New Roman"/>
          <w:sz w:val="30"/>
          <w:szCs w:val="30"/>
        </w:rPr>
        <w:t xml:space="preserve"> – </w:t>
      </w:r>
      <w:r w:rsidRPr="000E1FF4">
        <w:rPr>
          <w:rFonts w:ascii="Times New Roman" w:hAnsi="Times New Roman" w:cs="Times New Roman"/>
          <w:b/>
          <w:bCs/>
          <w:sz w:val="30"/>
          <w:szCs w:val="30"/>
        </w:rPr>
        <w:t>доплата</w:t>
      </w:r>
      <w:r w:rsidRPr="000E1FF4">
        <w:rPr>
          <w:rFonts w:ascii="Times New Roman" w:hAnsi="Times New Roman" w:cs="Times New Roman"/>
          <w:sz w:val="30"/>
          <w:szCs w:val="30"/>
        </w:rPr>
        <w:t xml:space="preserve"> земельного налога на основании извещения налогового органа, вручаемого не позднее 1 сентября 2023 года.</w:t>
      </w:r>
    </w:p>
    <w:p w14:paraId="298914CE" w14:textId="77777777" w:rsidR="003C3101" w:rsidRDefault="000E1FF4" w:rsidP="003C310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E1FF4">
        <w:rPr>
          <w:rFonts w:ascii="Times New Roman" w:hAnsi="Times New Roman" w:cs="Times New Roman"/>
          <w:sz w:val="30"/>
          <w:szCs w:val="30"/>
        </w:rPr>
        <w:t>Уплата физическими лицами земельного налога за земельные участки, расположенные в гаражных кооперативах и кооперативах, осуществляющих эксплуатацию автомобильных стоянок, в садоводческих товариществах и (или) дачных кооперативах, может производиться путем внесения сумм земельного налога гаражным кооперативам и кооперативам, осуществляющим эксплуатацию автомобильных стоянок, садоводческим товариществам и (или) дачным кооперативам, которые осуществляют прием сумм земельного налога и их перечисление в бюджет.</w:t>
      </w:r>
      <w:r w:rsidR="003C3101" w:rsidRPr="003C310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59A4FCD0" w14:textId="2B63AA4D" w:rsidR="003C3101" w:rsidRPr="000E1FF4" w:rsidRDefault="003C3101" w:rsidP="003C3101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E1FF4">
        <w:rPr>
          <w:rFonts w:ascii="Times New Roman" w:hAnsi="Times New Roman" w:cs="Times New Roman"/>
          <w:b/>
          <w:bCs/>
          <w:sz w:val="30"/>
          <w:szCs w:val="30"/>
        </w:rPr>
        <w:t>Обратите внимание!</w:t>
      </w:r>
    </w:p>
    <w:p w14:paraId="2983AEDA" w14:textId="1D5FA774" w:rsidR="003C3101" w:rsidRDefault="003C3101" w:rsidP="00CA5B46">
      <w:pPr>
        <w:jc w:val="both"/>
        <w:rPr>
          <w:rFonts w:ascii="Times New Roman" w:hAnsi="Times New Roman" w:cs="Times New Roman"/>
          <w:sz w:val="30"/>
          <w:szCs w:val="30"/>
        </w:rPr>
      </w:pPr>
      <w:r w:rsidRPr="00CA5B46">
        <w:rPr>
          <w:rFonts w:ascii="Times New Roman" w:hAnsi="Times New Roman" w:cs="Times New Roman"/>
          <w:b/>
          <w:bCs/>
          <w:sz w:val="30"/>
          <w:szCs w:val="30"/>
        </w:rPr>
        <w:t>С 2023 года</w:t>
      </w:r>
      <w:r w:rsidRPr="000E1FF4">
        <w:rPr>
          <w:rFonts w:ascii="Times New Roman" w:hAnsi="Times New Roman" w:cs="Times New Roman"/>
          <w:sz w:val="30"/>
          <w:szCs w:val="30"/>
        </w:rPr>
        <w:t xml:space="preserve"> исчисление земельного налога физическим лицам за </w:t>
      </w:r>
      <w:r w:rsidRPr="000E1FF4">
        <w:rPr>
          <w:rFonts w:ascii="Times New Roman" w:hAnsi="Times New Roman" w:cs="Times New Roman"/>
          <w:b/>
          <w:bCs/>
          <w:sz w:val="30"/>
          <w:szCs w:val="30"/>
        </w:rPr>
        <w:t>земельные участки, предоставленные для строительства и обслуживания жилого дома, для дачного строительства</w:t>
      </w:r>
      <w:r w:rsidRPr="000E1FF4">
        <w:rPr>
          <w:rFonts w:ascii="Times New Roman" w:hAnsi="Times New Roman" w:cs="Times New Roman"/>
          <w:sz w:val="30"/>
          <w:szCs w:val="30"/>
        </w:rPr>
        <w:t xml:space="preserve">, на которых в течение </w:t>
      </w:r>
      <w:r w:rsidRPr="000E1FF4">
        <w:rPr>
          <w:rFonts w:ascii="Times New Roman" w:hAnsi="Times New Roman" w:cs="Times New Roman"/>
          <w:b/>
          <w:bCs/>
          <w:sz w:val="30"/>
          <w:szCs w:val="30"/>
        </w:rPr>
        <w:t>трех лет</w:t>
      </w:r>
      <w:r w:rsidRPr="000E1FF4">
        <w:rPr>
          <w:rFonts w:ascii="Times New Roman" w:hAnsi="Times New Roman" w:cs="Times New Roman"/>
          <w:sz w:val="30"/>
          <w:szCs w:val="30"/>
        </w:rPr>
        <w:t xml:space="preserve"> с даты предоставления (приобретения) таких участков физическими лицами не произведена государственная регистрация создания жилого дома, дачи, производится по ставкам земельного налога, увеличенным на </w:t>
      </w:r>
      <w:r w:rsidRPr="000E1FF4">
        <w:rPr>
          <w:rFonts w:ascii="Times New Roman" w:hAnsi="Times New Roman" w:cs="Times New Roman"/>
          <w:b/>
          <w:bCs/>
          <w:sz w:val="30"/>
          <w:szCs w:val="30"/>
        </w:rPr>
        <w:t>коэффициент 3</w:t>
      </w:r>
      <w:r w:rsidRPr="000E1FF4">
        <w:rPr>
          <w:rFonts w:ascii="Times New Roman" w:hAnsi="Times New Roman" w:cs="Times New Roman"/>
          <w:sz w:val="30"/>
          <w:szCs w:val="30"/>
        </w:rPr>
        <w:t>.</w:t>
      </w:r>
    </w:p>
    <w:p w14:paraId="79A7CFE6" w14:textId="4F096776" w:rsidR="002978E2" w:rsidRPr="00CA5B46" w:rsidRDefault="002978E2" w:rsidP="002978E2">
      <w:pPr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 w:rsidRPr="00CA5B46">
        <w:rPr>
          <w:rFonts w:ascii="Times New Roman" w:hAnsi="Times New Roman" w:cs="Times New Roman"/>
          <w:sz w:val="30"/>
          <w:szCs w:val="30"/>
        </w:rPr>
        <w:t>ИМНС РБ по Могилевскому району</w:t>
      </w:r>
    </w:p>
    <w:p w14:paraId="39C3B1F2" w14:textId="3BD79B44" w:rsidR="000E1FF4" w:rsidRPr="000E1FF4" w:rsidRDefault="000E1FF4" w:rsidP="000E1FF4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0E1FF4" w:rsidRPr="000E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34F92"/>
    <w:multiLevelType w:val="multilevel"/>
    <w:tmpl w:val="A2CCE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AB7DC6"/>
    <w:multiLevelType w:val="multilevel"/>
    <w:tmpl w:val="EC5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D9"/>
    <w:rsid w:val="00027CCA"/>
    <w:rsid w:val="000E1FF4"/>
    <w:rsid w:val="001A3D56"/>
    <w:rsid w:val="002978E2"/>
    <w:rsid w:val="003C3101"/>
    <w:rsid w:val="004E24CA"/>
    <w:rsid w:val="00585CA9"/>
    <w:rsid w:val="009415C8"/>
    <w:rsid w:val="009710D9"/>
    <w:rsid w:val="00AF78F3"/>
    <w:rsid w:val="00B16CE6"/>
    <w:rsid w:val="00B42B07"/>
    <w:rsid w:val="00B71C24"/>
    <w:rsid w:val="00CA5B46"/>
    <w:rsid w:val="00D528A4"/>
    <w:rsid w:val="00E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1CBA2"/>
  <w15:chartTrackingRefBased/>
  <w15:docId w15:val="{ACFD07B8-A430-405D-BCE5-6285E985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F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1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9</cp:revision>
  <dcterms:created xsi:type="dcterms:W3CDTF">2022-06-02T14:52:00Z</dcterms:created>
  <dcterms:modified xsi:type="dcterms:W3CDTF">2022-06-28T08:01:00Z</dcterms:modified>
</cp:coreProperties>
</file>