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987A" w14:textId="77777777" w:rsidR="004B59C1" w:rsidRPr="004B59C1" w:rsidRDefault="004B59C1" w:rsidP="004B59C1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4B59C1">
        <w:rPr>
          <w:rFonts w:eastAsia="Times New Roman"/>
          <w:b/>
          <w:bCs/>
          <w:color w:val="1A1A1A"/>
          <w:szCs w:val="30"/>
          <w:lang w:eastAsia="ru-RU"/>
        </w:rPr>
        <w:t>О доработке кассового оборудования на соответствие новым требованиям</w:t>
      </w:r>
    </w:p>
    <w:p w14:paraId="59593990" w14:textId="106C1775" w:rsidR="004B59C1" w:rsidRPr="004B59C1" w:rsidRDefault="004B59C1" w:rsidP="004B59C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(далее – КСА), включе</w:t>
      </w:r>
      <w:r>
        <w:rPr>
          <w:rFonts w:eastAsia="Times New Roman"/>
          <w:color w:val="1A1A1A"/>
          <w:szCs w:val="30"/>
          <w:lang w:eastAsia="ru-RU"/>
        </w:rPr>
        <w:t>н</w:t>
      </w:r>
      <w:r w:rsidRPr="004B59C1">
        <w:rPr>
          <w:rFonts w:eastAsia="Times New Roman"/>
          <w:color w:val="1A1A1A"/>
          <w:szCs w:val="30"/>
          <w:lang w:eastAsia="ru-RU"/>
        </w:rPr>
        <w:t>ные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и программные кассы, обеспечивающие в том числе считывание и передачу в систему контроля кассового оборудования (далее – СККО) информации о реализации товаров, маркированных унифицированными контрольными знаками или средствами идентификации.</w:t>
      </w:r>
    </w:p>
    <w:p w14:paraId="4F0240D3" w14:textId="77777777" w:rsidR="004B59C1" w:rsidRPr="004B59C1" w:rsidRDefault="004B59C1" w:rsidP="004B59C1">
      <w:pPr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- План), который доступен по ссылке: </w:t>
      </w:r>
      <w:hyperlink r:id="rId5" w:history="1">
        <w:r w:rsidRPr="004B59C1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https://www.nalog.gov.by/upload/iblock/77a/ml22pzamwpwvvcd2y3rgzs5je8hdrh06.PDF</w:t>
        </w:r>
      </w:hyperlink>
      <w:r w:rsidRPr="004B59C1">
        <w:rPr>
          <w:rFonts w:eastAsia="Times New Roman"/>
          <w:color w:val="1A1A1A"/>
          <w:szCs w:val="30"/>
          <w:lang w:eastAsia="ru-RU"/>
        </w:rPr>
        <w:t>.</w:t>
      </w:r>
    </w:p>
    <w:p w14:paraId="247DADA1" w14:textId="77777777" w:rsidR="004B59C1" w:rsidRPr="004B59C1" w:rsidRDefault="004B59C1" w:rsidP="004B59C1">
      <w:pPr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Ассоциацией «Кассовые аппараты, компьютерные системы и торгово-технологическое оборудование» подготовлены перечни моделей (модификаций) КСА, которые могут и не могут быть доработаны их заявителями в Государственном реестре до соответствия новым требованиям к КСА, которые доступны по ссылке: </w:t>
      </w:r>
      <w:hyperlink r:id="rId6" w:history="1">
        <w:r w:rsidRPr="004B59C1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https://nalog.gov.by/news/19389/</w:t>
        </w:r>
      </w:hyperlink>
      <w:r w:rsidRPr="004B59C1">
        <w:rPr>
          <w:rFonts w:eastAsia="Times New Roman"/>
          <w:color w:val="1A1A1A"/>
          <w:szCs w:val="30"/>
          <w:lang w:eastAsia="ru-RU"/>
        </w:rPr>
        <w:t>.</w:t>
      </w:r>
    </w:p>
    <w:p w14:paraId="047ABE34" w14:textId="77777777" w:rsidR="004B59C1" w:rsidRPr="004B59C1" w:rsidRDefault="004B59C1" w:rsidP="004B59C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В настоящее время производителями КСА и операторами программных кассовых систем проводится работа по доработке кассового оборудования на соответствие новым требованиям и подаче заявок для проведения испытаний доработанных и новых моделей (модификаций) КСА, для включения в Государственный реестр, а также на проведение оценки моделей программных касс на соответствие новым требованиям. Данная работа должна быть завершена в отношении КСА до 01.04.2024, в отношении программных касс до 01.05.2024.</w:t>
      </w:r>
    </w:p>
    <w:p w14:paraId="73DF73A8" w14:textId="77777777" w:rsidR="004B59C1" w:rsidRPr="004B59C1" w:rsidRDefault="004B59C1" w:rsidP="004B59C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После доработки производителями моделей КСА и включения их в Государственный реестр необходимо доработать используемые в торговых и иных объектах КСА до соответствия новым требованиям либо приобрести и подключить к СККО новые модели КСА:</w:t>
      </w:r>
    </w:p>
    <w:p w14:paraId="5E64D8A9" w14:textId="77777777" w:rsidR="004B59C1" w:rsidRPr="004B59C1" w:rsidRDefault="004B59C1" w:rsidP="004B59C1">
      <w:pPr>
        <w:numPr>
          <w:ilvl w:val="0"/>
          <w:numId w:val="1"/>
        </w:num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субъектами хозяйствования, осуществляющими продажу маркированных унифицированными контрольными знаками и средствами идентификации товаров – до 01.01.2025;</w:t>
      </w:r>
    </w:p>
    <w:p w14:paraId="5DD8A322" w14:textId="77777777" w:rsidR="004B59C1" w:rsidRPr="004B59C1" w:rsidRDefault="004B59C1" w:rsidP="004B59C1">
      <w:pPr>
        <w:numPr>
          <w:ilvl w:val="0"/>
          <w:numId w:val="1"/>
        </w:num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lastRenderedPageBreak/>
        <w:t>иными субъектами хозяйствования – до 01.04.2025.</w:t>
      </w:r>
    </w:p>
    <w:p w14:paraId="5AF74417" w14:textId="77777777" w:rsidR="004B59C1" w:rsidRPr="004B59C1" w:rsidRDefault="004B59C1" w:rsidP="004B59C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До 01.01.2025 операторами программных кассовых систем должна быть осуществлена замена программного обеспечения программных касс у пользователей.</w:t>
      </w:r>
    </w:p>
    <w:p w14:paraId="5AFC000B" w14:textId="42D27AA5" w:rsidR="004B59C1" w:rsidRPr="004B59C1" w:rsidRDefault="004B59C1" w:rsidP="004B59C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4B59C1">
        <w:rPr>
          <w:rFonts w:eastAsia="Times New Roman"/>
          <w:color w:val="1A1A1A"/>
          <w:szCs w:val="30"/>
          <w:lang w:eastAsia="ru-RU"/>
        </w:rPr>
        <w:t>Обращаем внимание, что установленные сроки перехода на использование нового кассового оборудования (с 1 июля 2025 года) переноситься не</w:t>
      </w:r>
      <w:r w:rsidR="00F02876">
        <w:rPr>
          <w:rFonts w:eastAsia="Times New Roman"/>
          <w:color w:val="1A1A1A"/>
          <w:szCs w:val="30"/>
          <w:lang w:eastAsia="ru-RU"/>
        </w:rPr>
        <w:t> </w:t>
      </w:r>
      <w:r w:rsidRPr="004B59C1">
        <w:rPr>
          <w:rFonts w:eastAsia="Times New Roman"/>
          <w:color w:val="1A1A1A"/>
          <w:szCs w:val="30"/>
          <w:lang w:eastAsia="ru-RU"/>
        </w:rPr>
        <w:t>будут.</w:t>
      </w:r>
    </w:p>
    <w:p w14:paraId="11BD4C7E" w14:textId="77777777" w:rsidR="00F02876" w:rsidRPr="00B63A71" w:rsidRDefault="00F02876" w:rsidP="00B63A71">
      <w:pPr>
        <w:jc w:val="right"/>
      </w:pPr>
      <w:r w:rsidRPr="00B63A71">
        <w:t>Пресс-центр инспекции МНС</w:t>
      </w:r>
    </w:p>
    <w:p w14:paraId="262C2B08" w14:textId="77777777" w:rsidR="00F02876" w:rsidRPr="00B63A71" w:rsidRDefault="00F02876" w:rsidP="00B63A71">
      <w:pPr>
        <w:jc w:val="right"/>
      </w:pPr>
      <w:r w:rsidRPr="00B63A71">
        <w:t>Республики Беларусь</w:t>
      </w:r>
    </w:p>
    <w:p w14:paraId="077BA0A9" w14:textId="77777777" w:rsidR="00F02876" w:rsidRPr="00B63A71" w:rsidRDefault="00F02876" w:rsidP="00B63A71">
      <w:pPr>
        <w:jc w:val="right"/>
      </w:pPr>
      <w:r w:rsidRPr="00B63A71">
        <w:t>по Могилевской области</w:t>
      </w:r>
    </w:p>
    <w:sectPr w:rsidR="00F0287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930D5"/>
    <w:multiLevelType w:val="multilevel"/>
    <w:tmpl w:val="1DE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C1"/>
    <w:rsid w:val="001A0E42"/>
    <w:rsid w:val="001B4AD1"/>
    <w:rsid w:val="001B5D85"/>
    <w:rsid w:val="001C74DC"/>
    <w:rsid w:val="00301406"/>
    <w:rsid w:val="00390083"/>
    <w:rsid w:val="003C29C1"/>
    <w:rsid w:val="00415CB8"/>
    <w:rsid w:val="004B59C1"/>
    <w:rsid w:val="00533D64"/>
    <w:rsid w:val="00625907"/>
    <w:rsid w:val="006E7525"/>
    <w:rsid w:val="0094746F"/>
    <w:rsid w:val="00A46AA9"/>
    <w:rsid w:val="00EF1A52"/>
    <w:rsid w:val="00F02876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684"/>
  <w15:chartTrackingRefBased/>
  <w15:docId w15:val="{47169270-EC68-4ADD-A690-4461C94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C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9C1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ov.by/news/19389/" TargetMode="External"/><Relationship Id="rId5" Type="http://schemas.openxmlformats.org/officeDocument/2006/relationships/hyperlink" Target="https://www.nalog.gov.by/upload/iblock/77a/ml22pzamwpwvvcd2y3rgzs5je8hdrh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2024-04-29T10:31:00Z</dcterms:created>
  <dcterms:modified xsi:type="dcterms:W3CDTF">2024-04-29T10:31:00Z</dcterms:modified>
</cp:coreProperties>
</file>